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FE5F7">
      <w:pPr>
        <w:rPr>
          <w:rFonts w:ascii="宋体" w:hAnsi="宋体" w:eastAsia="宋体"/>
        </w:rPr>
      </w:pPr>
    </w:p>
    <w:p w14:paraId="7CE027FC">
      <w:pPr>
        <w:widowControl/>
        <w:jc w:val="center"/>
        <w:rPr>
          <w:rFonts w:hint="default" w:eastAsia="宋体"/>
          <w:b/>
          <w:kern w:val="0"/>
          <w:sz w:val="32"/>
          <w:szCs w:val="32"/>
        </w:rPr>
      </w:pPr>
    </w:p>
    <w:p w14:paraId="320FE3F4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{{product_name}}</w:t>
      </w:r>
    </w:p>
    <w:p w14:paraId="6BC681AA">
      <w:pPr>
        <w:widowControl/>
        <w:jc w:val="center"/>
        <w:rPr>
          <w:rFonts w:hint="default" w:eastAsia="宋体"/>
          <w:b/>
          <w:kern w:val="0"/>
          <w:sz w:val="32"/>
          <w:szCs w:val="32"/>
        </w:rPr>
      </w:pPr>
    </w:p>
    <w:p w14:paraId="12C1F668">
      <w:pPr>
        <w:widowControl/>
        <w:numPr>
          <w:ilvl w:val="0"/>
          <w:numId w:val="7"/>
        </w:numPr>
        <w:jc w:val="center"/>
        <w:rPr>
          <w:rFonts w:hint="default" w:eastAsia="宋体"/>
          <w:b/>
          <w:kern w:val="0"/>
          <w:sz w:val="32"/>
          <w:szCs w:val="32"/>
        </w:rPr>
      </w:pPr>
      <w:r>
        <w:rPr>
          <w:rFonts w:hint="default" w:eastAsia="宋体"/>
          <w:b/>
          <w:kern w:val="0"/>
          <w:sz w:val="32"/>
          <w:szCs w:val="32"/>
        </w:rPr>
        <w:t>监管信息</w:t>
      </w:r>
    </w:p>
    <w:p w14:paraId="047DCE2F">
      <w:pPr>
        <w:widowControl/>
        <w:rPr>
          <w:rFonts w:hint="default" w:eastAsia="宋体"/>
          <w:b/>
          <w:kern w:val="0"/>
          <w:sz w:val="32"/>
          <w:szCs w:val="32"/>
        </w:rPr>
      </w:pPr>
    </w:p>
    <w:p w14:paraId="181F6FD5">
      <w:pPr>
        <w:widowControl/>
        <w:jc w:val="center"/>
        <w:rPr>
          <w:rFonts w:hint="default" w:eastAsia="宋体"/>
          <w:b/>
          <w:kern w:val="0"/>
          <w:sz w:val="32"/>
          <w:szCs w:val="32"/>
        </w:rPr>
      </w:pPr>
      <w:r>
        <w:rPr>
          <w:rFonts w:hint="default" w:eastAsia="宋体"/>
          <w:b/>
          <w:kern w:val="0"/>
          <w:sz w:val="32"/>
          <w:szCs w:val="32"/>
        </w:rPr>
        <w:t>CH1.5产品列表</w:t>
      </w:r>
    </w:p>
    <w:p w14:paraId="61D12C24">
      <w:pPr>
        <w:widowControl/>
        <w:jc w:val="center"/>
        <w:rPr>
          <w:rFonts w:hint="default" w:eastAsia="宋体"/>
          <w:b/>
          <w:kern w:val="0"/>
          <w:sz w:val="32"/>
          <w:szCs w:val="32"/>
        </w:rPr>
      </w:pPr>
    </w:p>
    <w:p w14:paraId="3B905405">
      <w:pPr>
        <w:widowControl/>
        <w:rPr>
          <w:rFonts w:hint="default"/>
          <w:kern w:val="0"/>
          <w:sz w:val="32"/>
          <w:szCs w:val="32"/>
        </w:rPr>
      </w:pPr>
    </w:p>
    <w:p w14:paraId="6D64A580">
      <w:pPr>
        <w:widowControl/>
        <w:rPr>
          <w:rFonts w:hint="default"/>
          <w:kern w:val="0"/>
          <w:sz w:val="32"/>
          <w:szCs w:val="32"/>
        </w:rPr>
      </w:pPr>
    </w:p>
    <w:p w14:paraId="6695343D">
      <w:pPr>
        <w:widowControl/>
        <w:rPr>
          <w:rFonts w:hint="default"/>
          <w:kern w:val="0"/>
          <w:sz w:val="32"/>
          <w:szCs w:val="32"/>
        </w:rPr>
      </w:pPr>
    </w:p>
    <w:p w14:paraId="3E81F0E7">
      <w:pPr>
        <w:widowControl/>
        <w:rPr>
          <w:rFonts w:hint="default"/>
          <w:kern w:val="0"/>
          <w:sz w:val="32"/>
          <w:szCs w:val="32"/>
        </w:rPr>
      </w:pPr>
    </w:p>
    <w:p w14:paraId="0D5D3870">
      <w:pPr>
        <w:widowControl/>
        <w:rPr>
          <w:rFonts w:hint="default"/>
          <w:kern w:val="0"/>
          <w:sz w:val="32"/>
          <w:szCs w:val="32"/>
        </w:rPr>
      </w:pPr>
    </w:p>
    <w:p w14:paraId="42C213F9">
      <w:pPr>
        <w:widowControl/>
        <w:rPr>
          <w:rFonts w:hint="default"/>
          <w:kern w:val="0"/>
          <w:sz w:val="32"/>
          <w:szCs w:val="32"/>
        </w:rPr>
      </w:pPr>
    </w:p>
    <w:p w14:paraId="2390803E">
      <w:pPr>
        <w:widowControl/>
        <w:rPr>
          <w:rFonts w:hint="default"/>
          <w:kern w:val="0"/>
          <w:sz w:val="32"/>
          <w:szCs w:val="32"/>
        </w:rPr>
      </w:pPr>
    </w:p>
    <w:p w14:paraId="02E7A35F">
      <w:pPr>
        <w:widowControl/>
        <w:jc w:val="center"/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  <w:sectPr>
          <w:headerReference r:id="rId6" w:type="first"/>
          <w:headerReference r:id="rId5" w:type="default"/>
          <w:footerReference r:id="rId7" w:type="default"/>
          <w:pgSz w:w="11906" w:h="16838"/>
          <w:pgMar w:top="1134" w:right="1418" w:bottom="1418" w:left="1985" w:header="0" w:footer="1191" w:gutter="0"/>
          <w:pgNumType w:start="1"/>
          <w:cols w:space="425" w:num="1"/>
          <w:docGrid w:type="lines" w:linePitch="312" w:charSpace="0"/>
        </w:sectPr>
      </w:pPr>
      <w:r>
        <w:rPr>
          <w:rFonts w:hint="default" w:eastAsia="宋体"/>
          <w:b/>
          <w:kern w:val="0"/>
          <w:sz w:val="32"/>
          <w:szCs w:val="32"/>
        </w:rPr>
        <w:t>卡尤迪生物科技宜兴有限公司</w:t>
      </w:r>
    </w:p>
    <w:p w14:paraId="3DA74125">
      <w:pPr>
        <w:pStyle w:val="5"/>
        <w:widowControl/>
        <w:numPr>
          <w:ilvl w:val="0"/>
          <w:numId w:val="8"/>
        </w:numPr>
        <w:spacing w:before="0" w:after="0" w:line="360" w:lineRule="auto"/>
        <w:jc w:val="left"/>
        <w:rPr>
          <w:rFonts w:hint="default"/>
          <w:sz w:val="24"/>
        </w:rPr>
      </w:pPr>
      <w:r>
        <w:rPr>
          <w:rFonts w:hint="default"/>
          <w:sz w:val="24"/>
        </w:rPr>
        <w:t>产品的包装规格</w:t>
      </w:r>
    </w:p>
    <w:p w14:paraId="17D27D4C">
      <w:pPr>
        <w:widowControl/>
        <w:adjustRightInd w:val="0"/>
        <w:ind w:firstLine="440" w:firstLineChars="200"/>
        <w:jc w:val="left"/>
        <w:rPr>
          <w:rFonts w:hint="default"/>
        </w:rPr>
      </w:pPr>
      <w:r>
        <w:rPr>
          <w:rFonts w:hint="eastAsia"/>
        </w:rPr>
        <w:t>{{product_name}}</w:t>
      </w:r>
      <w:r>
        <w:rPr>
          <w:rFonts w:hint="default"/>
        </w:rPr>
        <w:t>的包</w:t>
      </w:r>
      <w:r>
        <w:rPr>
          <w:rFonts w:hint="default"/>
        </w:rPr>
        <w:t>装规格、货号、组分及主要组成成分见下表：</w:t>
      </w:r>
    </w:p>
    <w:tbl>
      <w:tblPr>
        <w:tblStyle w:val="33"/>
        <w:tblW w:w="13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325"/>
        <w:gridCol w:w="1236"/>
        <w:gridCol w:w="2760"/>
        <w:gridCol w:w="3862"/>
        <w:gridCol w:w="1747"/>
      </w:tblGrid>
      <w:tr w14:paraId="5E98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Align w:val="center"/>
          </w:tcPr>
          <w:p w14:paraId="7E8E7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包装规格</w:t>
            </w:r>
          </w:p>
        </w:tc>
        <w:tc>
          <w:tcPr>
            <w:tcW w:w="1325" w:type="dxa"/>
            <w:vAlign w:val="center"/>
          </w:tcPr>
          <w:p w14:paraId="097FE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货号</w:t>
            </w:r>
          </w:p>
        </w:tc>
        <w:tc>
          <w:tcPr>
            <w:tcW w:w="1236" w:type="dxa"/>
            <w:vAlign w:val="center"/>
          </w:tcPr>
          <w:p w14:paraId="0963D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组成</w:t>
            </w:r>
          </w:p>
        </w:tc>
        <w:tc>
          <w:tcPr>
            <w:tcW w:w="2760" w:type="dxa"/>
            <w:vAlign w:val="center"/>
          </w:tcPr>
          <w:p w14:paraId="1669C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组分</w:t>
            </w:r>
          </w:p>
        </w:tc>
        <w:tc>
          <w:tcPr>
            <w:tcW w:w="3862" w:type="dxa"/>
            <w:vAlign w:val="center"/>
          </w:tcPr>
          <w:p w14:paraId="0F8D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主要组成成分</w:t>
            </w:r>
          </w:p>
        </w:tc>
        <w:tc>
          <w:tcPr>
            <w:tcW w:w="1747" w:type="dxa"/>
            <w:vAlign w:val="center"/>
          </w:tcPr>
          <w:p w14:paraId="1189E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规格/数量</w:t>
            </w:r>
          </w:p>
        </w:tc>
      </w:tr>
      <w:tr w14:paraId="5EE1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restart"/>
            <w:vAlign w:val="center"/>
          </w:tcPr>
          <w:p w14:paraId="62CD1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规格A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24人份/盒</w:t>
            </w:r>
          </w:p>
        </w:tc>
        <w:tc>
          <w:tcPr>
            <w:tcW w:w="1325" w:type="dxa"/>
            <w:vMerge w:val="restart"/>
            <w:vAlign w:val="center"/>
          </w:tcPr>
          <w:p w14:paraId="2EAC5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6018003102</w:t>
            </w:r>
          </w:p>
        </w:tc>
        <w:tc>
          <w:tcPr>
            <w:tcW w:w="1236" w:type="dxa"/>
            <w:vMerge w:val="restart"/>
            <w:vAlign w:val="center"/>
          </w:tcPr>
          <w:p w14:paraId="47A07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反应液</w:t>
            </w:r>
          </w:p>
        </w:tc>
        <w:tc>
          <w:tcPr>
            <w:tcW w:w="2760" w:type="dxa"/>
            <w:vAlign w:val="center"/>
          </w:tcPr>
          <w:p w14:paraId="1A6CD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RSV&amp;MP PCR反应液I</w:t>
            </w:r>
          </w:p>
        </w:tc>
        <w:tc>
          <w:tcPr>
            <w:tcW w:w="3862" w:type="dxa"/>
            <w:vAlign w:val="center"/>
          </w:tcPr>
          <w:p w14:paraId="0C5E9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逆转录酶、Taq酶和Tris缓冲液、Enhancer、dNTPs、MgCl2等</w:t>
            </w:r>
          </w:p>
        </w:tc>
        <w:tc>
          <w:tcPr>
            <w:tcW w:w="1747" w:type="dxa"/>
            <w:vAlign w:val="center"/>
          </w:tcPr>
          <w:p w14:paraId="73A6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840μL/管×1管</w:t>
            </w:r>
          </w:p>
        </w:tc>
      </w:tr>
      <w:tr w14:paraId="2487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 w14:paraId="01AF8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 w14:paraId="700A4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Merge w:val="continue"/>
            <w:vAlign w:val="center"/>
          </w:tcPr>
          <w:p w14:paraId="27591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Align w:val="center"/>
          </w:tcPr>
          <w:p w14:paraId="4DD5A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RSV&amp;MP-PCR反应液II</w:t>
            </w:r>
          </w:p>
        </w:tc>
        <w:tc>
          <w:tcPr>
            <w:tcW w:w="3862" w:type="dxa"/>
            <w:vAlign w:val="center"/>
          </w:tcPr>
          <w:p w14:paraId="66327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MP、RSV、RNase P特异性的引物、探针</w:t>
            </w:r>
          </w:p>
        </w:tc>
        <w:tc>
          <w:tcPr>
            <w:tcW w:w="1747" w:type="dxa"/>
            <w:vAlign w:val="center"/>
          </w:tcPr>
          <w:p w14:paraId="11E4F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80μL/管 ×1管</w:t>
            </w:r>
          </w:p>
        </w:tc>
      </w:tr>
      <w:tr w14:paraId="639F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 w14:paraId="05FF5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 w14:paraId="781F8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Merge w:val="restart"/>
            <w:vAlign w:val="center"/>
          </w:tcPr>
          <w:p w14:paraId="4BA25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质控品</w:t>
            </w:r>
          </w:p>
        </w:tc>
        <w:tc>
          <w:tcPr>
            <w:tcW w:w="2760" w:type="dxa"/>
            <w:vAlign w:val="center"/>
          </w:tcPr>
          <w:p w14:paraId="1AE38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RSV&amp;MP阳性对照品</w:t>
            </w:r>
          </w:p>
        </w:tc>
        <w:tc>
          <w:tcPr>
            <w:tcW w:w="3862" w:type="dxa"/>
            <w:vAlign w:val="center"/>
          </w:tcPr>
          <w:p w14:paraId="30350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含有RSV目的片段的假病毒、MP目的片段的假病毒</w:t>
            </w:r>
          </w:p>
        </w:tc>
        <w:tc>
          <w:tcPr>
            <w:tcW w:w="1747" w:type="dxa"/>
            <w:vAlign w:val="center"/>
          </w:tcPr>
          <w:p w14:paraId="4EA9F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120μL/管×1管</w:t>
            </w:r>
          </w:p>
        </w:tc>
      </w:tr>
      <w:tr w14:paraId="640D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 w14:paraId="1AF32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 w14:paraId="4D785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Merge w:val="continue"/>
            <w:vAlign w:val="center"/>
          </w:tcPr>
          <w:p w14:paraId="6C797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Align w:val="center"/>
          </w:tcPr>
          <w:p w14:paraId="38B87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阴性对照品</w:t>
            </w:r>
          </w:p>
        </w:tc>
        <w:tc>
          <w:tcPr>
            <w:tcW w:w="3862" w:type="dxa"/>
            <w:vAlign w:val="center"/>
          </w:tcPr>
          <w:p w14:paraId="0AC51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含RNase P假病毒的样本保存液</w:t>
            </w:r>
          </w:p>
        </w:tc>
        <w:tc>
          <w:tcPr>
            <w:tcW w:w="1747" w:type="dxa"/>
            <w:vAlign w:val="center"/>
          </w:tcPr>
          <w:p w14:paraId="7A068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120μL/管×1管</w:t>
            </w:r>
          </w:p>
        </w:tc>
      </w:tr>
      <w:tr w14:paraId="193A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 w14:paraId="4A5BB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 w14:paraId="4784B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34F97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处理液</w:t>
            </w:r>
          </w:p>
        </w:tc>
        <w:tc>
          <w:tcPr>
            <w:tcW w:w="2760" w:type="dxa"/>
            <w:vAlign w:val="center"/>
          </w:tcPr>
          <w:p w14:paraId="7F3E7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呼吸道样本处理液</w:t>
            </w:r>
          </w:p>
        </w:tc>
        <w:tc>
          <w:tcPr>
            <w:tcW w:w="3862" w:type="dxa"/>
            <w:vAlign w:val="center"/>
          </w:tcPr>
          <w:p w14:paraId="4FE0B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碱溶液</w:t>
            </w:r>
          </w:p>
        </w:tc>
        <w:tc>
          <w:tcPr>
            <w:tcW w:w="1747" w:type="dxa"/>
            <w:vAlign w:val="center"/>
          </w:tcPr>
          <w:p w14:paraId="2FF8B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500μL/管×1管</w:t>
            </w:r>
          </w:p>
        </w:tc>
      </w:tr>
    </w:tbl>
    <w:p w14:paraId="0D8C0A35">
      <w:pPr>
        <w:pStyle w:val="5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0" w:firstLineChars="0"/>
        <w:textAlignment w:val="auto"/>
        <w:rPr>
          <w:sz w:val="24"/>
        </w:rPr>
      </w:pPr>
      <w:r>
        <w:rPr>
          <w:rFonts w:hint="eastAsia"/>
          <w:sz w:val="24"/>
        </w:rPr>
        <w:t>描述说明</w:t>
      </w:r>
    </w:p>
    <w:p w14:paraId="31D99341">
      <w:pPr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default"/>
        </w:rPr>
      </w:pPr>
      <w:r>
        <w:t>规格A和规格B的区别：规格A</w:t>
      </w:r>
      <w:r>
        <w:rPr>
          <w:rFonts w:hint="eastAsia"/>
          <w:lang w:val="en-US" w:eastAsia="zh-CN"/>
        </w:rPr>
        <w:t>不含反应</w:t>
      </w:r>
      <w:bookmarkStart w:id="0" w:name="_GoBack"/>
      <w:bookmarkEnd w:id="0"/>
      <w:r>
        <w:rPr>
          <w:rFonts w:hint="eastAsia"/>
          <w:lang w:val="en-US" w:eastAsia="zh-CN"/>
        </w:rPr>
        <w:t>增强剂，</w:t>
      </w:r>
      <w:r>
        <w:rPr>
          <w:rFonts w:hint="eastAsia"/>
        </w:rPr>
        <w:t>适用于ABI 7500实时荧光定量PCR仪、BIO-RAD CFX96实时荧光定量PCR仪、Gentier 48E全自动医疗PCR分析系统</w:t>
      </w:r>
      <w:r>
        <w:t>；规格B</w:t>
      </w:r>
      <w:r>
        <w:rPr>
          <w:rFonts w:hint="eastAsia"/>
          <w:lang w:val="en-US" w:eastAsia="zh-CN"/>
        </w:rPr>
        <w:t>含反应增强剂（25</w:t>
      </w:r>
      <w:r>
        <w:rPr>
          <w:rFonts w:hint="eastAsia" w:ascii="Times New Roman" w:hAnsi="Times New Roman" w:cs="Times New Roman"/>
          <w:sz w:val="21"/>
          <w:szCs w:val="21"/>
        </w:rPr>
        <w:t>×</w:t>
      </w:r>
      <w:r>
        <w:rPr>
          <w:rFonts w:hint="eastAsia"/>
          <w:lang w:val="en-US" w:eastAsia="zh-CN"/>
        </w:rPr>
        <w:t>）</w:t>
      </w:r>
      <w:r>
        <w:rPr>
          <w:rFonts w:hint="eastAsia"/>
        </w:rPr>
        <w:t>适用于Flash 20实时荧光定量PCR仪</w:t>
      </w:r>
      <w:r>
        <w:t>。规格A和规格B</w:t>
      </w:r>
      <w:r>
        <w:rPr>
          <w:rFonts w:hint="eastAsia"/>
        </w:rPr>
        <w:t>的详细对比见下表：</w:t>
      </w:r>
    </w:p>
    <w:tbl>
      <w:tblPr>
        <w:tblStyle w:val="33"/>
        <w:tblW w:w="10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3175"/>
        <w:gridCol w:w="3100"/>
        <w:gridCol w:w="1484"/>
      </w:tblGrid>
      <w:tr w14:paraId="5BA95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95" w:type="dxa"/>
            <w:vAlign w:val="center"/>
          </w:tcPr>
          <w:p w14:paraId="16BE0E0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组分名称</w:t>
            </w:r>
          </w:p>
        </w:tc>
        <w:tc>
          <w:tcPr>
            <w:tcW w:w="3175" w:type="dxa"/>
            <w:vAlign w:val="center"/>
          </w:tcPr>
          <w:p w14:paraId="25C55B9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规格A</w:t>
            </w:r>
          </w:p>
        </w:tc>
        <w:tc>
          <w:tcPr>
            <w:tcW w:w="3100" w:type="dxa"/>
            <w:vAlign w:val="center"/>
          </w:tcPr>
          <w:p w14:paraId="7A9E149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规格B</w:t>
            </w:r>
          </w:p>
        </w:tc>
        <w:tc>
          <w:tcPr>
            <w:tcW w:w="1484" w:type="dxa"/>
            <w:vAlign w:val="center"/>
          </w:tcPr>
          <w:p w14:paraId="0EBE069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规格A/B异同</w:t>
            </w:r>
          </w:p>
        </w:tc>
      </w:tr>
      <w:tr w14:paraId="5D770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95" w:type="dxa"/>
            <w:vAlign w:val="center"/>
          </w:tcPr>
          <w:p w14:paraId="024B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RSV&amp;MP PCR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反应液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3175" w:type="dxa"/>
            <w:vAlign w:val="center"/>
          </w:tcPr>
          <w:p w14:paraId="01366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逆转录酶、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Taq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酶和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Tris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缓冲液、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Enhancer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dNTPs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MgCl2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等</w:t>
            </w:r>
          </w:p>
        </w:tc>
        <w:tc>
          <w:tcPr>
            <w:tcW w:w="3100" w:type="dxa"/>
            <w:vAlign w:val="center"/>
          </w:tcPr>
          <w:p w14:paraId="6256F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逆转录酶、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Taq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酶和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Tris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缓冲液、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Enhancer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dNTPs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MgCl2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等</w:t>
            </w:r>
          </w:p>
        </w:tc>
        <w:tc>
          <w:tcPr>
            <w:tcW w:w="1484" w:type="dxa"/>
            <w:vAlign w:val="center"/>
          </w:tcPr>
          <w:p w14:paraId="087AADB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相同</w:t>
            </w:r>
          </w:p>
        </w:tc>
      </w:tr>
      <w:tr w14:paraId="5C167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95" w:type="dxa"/>
            <w:vAlign w:val="center"/>
          </w:tcPr>
          <w:p w14:paraId="41FE0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RSV&amp;MP-PCR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反应液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II</w:t>
            </w:r>
          </w:p>
        </w:tc>
        <w:tc>
          <w:tcPr>
            <w:tcW w:w="3175" w:type="dxa"/>
            <w:vAlign w:val="center"/>
          </w:tcPr>
          <w:p w14:paraId="1FF19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MP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RSV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RNase 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特异性的引物、探针</w:t>
            </w:r>
          </w:p>
        </w:tc>
        <w:tc>
          <w:tcPr>
            <w:tcW w:w="3100" w:type="dxa"/>
            <w:vAlign w:val="center"/>
          </w:tcPr>
          <w:p w14:paraId="2BFC0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MP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RSV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RNase 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特异性的引物、探针</w:t>
            </w:r>
          </w:p>
        </w:tc>
        <w:tc>
          <w:tcPr>
            <w:tcW w:w="1484" w:type="dxa"/>
            <w:vAlign w:val="center"/>
          </w:tcPr>
          <w:p w14:paraId="0B8E1BA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相同</w:t>
            </w:r>
          </w:p>
        </w:tc>
      </w:tr>
      <w:tr w14:paraId="3A9F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95" w:type="dxa"/>
            <w:vAlign w:val="center"/>
          </w:tcPr>
          <w:p w14:paraId="7894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RSV&amp;MP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阳性对照品</w:t>
            </w:r>
          </w:p>
        </w:tc>
        <w:tc>
          <w:tcPr>
            <w:tcW w:w="3175" w:type="dxa"/>
            <w:vAlign w:val="center"/>
          </w:tcPr>
          <w:p w14:paraId="55860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含有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RSV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目的片段的假病毒、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MP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目的片段的假病毒</w:t>
            </w:r>
          </w:p>
        </w:tc>
        <w:tc>
          <w:tcPr>
            <w:tcW w:w="3100" w:type="dxa"/>
            <w:vAlign w:val="center"/>
          </w:tcPr>
          <w:p w14:paraId="4BE4E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含有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RSV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目的片段的假病毒、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MP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目的片段的假病毒</w:t>
            </w:r>
          </w:p>
        </w:tc>
        <w:tc>
          <w:tcPr>
            <w:tcW w:w="1484" w:type="dxa"/>
            <w:vAlign w:val="center"/>
          </w:tcPr>
          <w:p w14:paraId="635A556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相同</w:t>
            </w:r>
          </w:p>
        </w:tc>
      </w:tr>
      <w:tr w14:paraId="19D0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95" w:type="dxa"/>
            <w:vAlign w:val="center"/>
          </w:tcPr>
          <w:p w14:paraId="73862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阴性对照品</w:t>
            </w:r>
          </w:p>
        </w:tc>
        <w:tc>
          <w:tcPr>
            <w:tcW w:w="3175" w:type="dxa"/>
            <w:vAlign w:val="center"/>
          </w:tcPr>
          <w:p w14:paraId="5622F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含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RNase 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假病毒的样本保存液</w:t>
            </w:r>
          </w:p>
        </w:tc>
        <w:tc>
          <w:tcPr>
            <w:tcW w:w="3100" w:type="dxa"/>
            <w:vAlign w:val="center"/>
          </w:tcPr>
          <w:p w14:paraId="42A8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含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RNase 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假病毒的样本保存液</w:t>
            </w:r>
          </w:p>
        </w:tc>
        <w:tc>
          <w:tcPr>
            <w:tcW w:w="1484" w:type="dxa"/>
            <w:vAlign w:val="center"/>
          </w:tcPr>
          <w:p w14:paraId="14934BF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相同</w:t>
            </w:r>
          </w:p>
        </w:tc>
      </w:tr>
      <w:tr w14:paraId="0B736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95" w:type="dxa"/>
            <w:vAlign w:val="center"/>
          </w:tcPr>
          <w:p w14:paraId="6BD7F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呼吸道样本处理液</w:t>
            </w:r>
          </w:p>
        </w:tc>
        <w:tc>
          <w:tcPr>
            <w:tcW w:w="3175" w:type="dxa"/>
            <w:vAlign w:val="center"/>
          </w:tcPr>
          <w:p w14:paraId="0EB6C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碱溶液</w:t>
            </w:r>
          </w:p>
        </w:tc>
        <w:tc>
          <w:tcPr>
            <w:tcW w:w="3100" w:type="dxa"/>
            <w:vAlign w:val="center"/>
          </w:tcPr>
          <w:p w14:paraId="179DF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碱溶液</w:t>
            </w:r>
          </w:p>
        </w:tc>
        <w:tc>
          <w:tcPr>
            <w:tcW w:w="1484" w:type="dxa"/>
            <w:vAlign w:val="center"/>
          </w:tcPr>
          <w:p w14:paraId="102C7C6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相同</w:t>
            </w:r>
          </w:p>
        </w:tc>
      </w:tr>
      <w:tr w14:paraId="4F1B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95" w:type="dxa"/>
            <w:vMerge w:val="restart"/>
            <w:vAlign w:val="center"/>
          </w:tcPr>
          <w:p w14:paraId="6DD03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反应增强剂（25×）</w:t>
            </w:r>
          </w:p>
        </w:tc>
        <w:tc>
          <w:tcPr>
            <w:tcW w:w="3175" w:type="dxa"/>
            <w:vMerge w:val="restart"/>
            <w:vAlign w:val="center"/>
          </w:tcPr>
          <w:p w14:paraId="6E54020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3100" w:type="dxa"/>
            <w:vAlign w:val="center"/>
          </w:tcPr>
          <w:p w14:paraId="7768F4A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含反应增强剂</w:t>
            </w:r>
          </w:p>
        </w:tc>
        <w:tc>
          <w:tcPr>
            <w:tcW w:w="1484" w:type="dxa"/>
            <w:vMerge w:val="restart"/>
            <w:vAlign w:val="center"/>
          </w:tcPr>
          <w:p w14:paraId="6F23970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不同</w:t>
            </w:r>
          </w:p>
        </w:tc>
      </w:tr>
      <w:tr w14:paraId="5AF4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95" w:type="dxa"/>
            <w:vMerge w:val="continue"/>
            <w:vAlign w:val="center"/>
          </w:tcPr>
          <w:p w14:paraId="7CBC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cs="Times New Roman"/>
                <w:sz w:val="21"/>
                <w:szCs w:val="21"/>
              </w:rPr>
            </w:pPr>
          </w:p>
        </w:tc>
        <w:tc>
          <w:tcPr>
            <w:tcW w:w="3175" w:type="dxa"/>
            <w:vMerge w:val="continue"/>
            <w:vAlign w:val="center"/>
          </w:tcPr>
          <w:p w14:paraId="492287D2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100" w:type="dxa"/>
            <w:vAlign w:val="center"/>
          </w:tcPr>
          <w:p w14:paraId="2F374921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由BSA等组成</w:t>
            </w:r>
          </w:p>
        </w:tc>
        <w:tc>
          <w:tcPr>
            <w:tcW w:w="1484" w:type="dxa"/>
            <w:vMerge w:val="continue"/>
            <w:vAlign w:val="center"/>
          </w:tcPr>
          <w:p w14:paraId="1C2F9301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 w14:paraId="10E8216D">
      <w:pPr>
        <w:jc w:val="center"/>
        <w:rPr>
          <w:rFonts w:hint="default"/>
        </w:rPr>
      </w:pPr>
    </w:p>
    <w:p w14:paraId="1DE0BBEE"/>
    <w:p w14:paraId="7A5B8CED"/>
    <w:sectPr>
      <w:pgSz w:w="15840" w:h="12240" w:orient="landscape"/>
      <w:pgMar w:top="1296" w:right="1152" w:bottom="1296" w:left="115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A8623">
    <w:pPr>
      <w:pStyle w:val="24"/>
      <w:tabs>
        <w:tab w:val="center" w:pos="4153"/>
        <w:tab w:val="right" w:pos="8306"/>
        <w:tab w:val="clear" w:pos="4680"/>
        <w:tab w:val="clear" w:pos="9360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533ED">
    <w:pPr>
      <w:pStyle w:val="25"/>
      <w:pBdr>
        <w:bottom w:val="none" w:color="auto" w:sz="0" w:space="1"/>
      </w:pBdr>
      <w:tabs>
        <w:tab w:val="center" w:pos="4153"/>
        <w:tab w:val="right" w:pos="8306"/>
        <w:tab w:val="clear" w:pos="4680"/>
        <w:tab w:val="clear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98D34">
    <w:pPr>
      <w:pStyle w:val="25"/>
      <w:tabs>
        <w:tab w:val="center" w:pos="4153"/>
        <w:tab w:val="right" w:pos="8306"/>
        <w:tab w:val="clear" w:pos="4680"/>
        <w:tab w:val="clear" w:pos="9360"/>
      </w:tabs>
      <w:ind w:firstLine="110" w:firstLineChars="50"/>
      <w:jc w:val="left"/>
      <w:rPr>
        <w:rFonts w:asciiTheme="minorEastAsia" w:hAnsiTheme="minorEastAsia"/>
      </w:rPr>
    </w:pPr>
    <w:r>
      <w:rPr>
        <w:rFonts w:hint="eastAsia" w:asciiTheme="minorEastAsia" w:hAnsiTheme="minorEastAsia"/>
      </w:rPr>
      <w:t>卡尤迪</w:t>
    </w:r>
    <w:r>
      <w:rPr>
        <w:rFonts w:asciiTheme="minorEastAsia" w:hAnsiTheme="minorEastAsia"/>
      </w:rPr>
      <w:t>生物</w:t>
    </w:r>
    <w:r>
      <w:rPr>
        <w:rFonts w:hint="eastAsia" w:asciiTheme="minorEastAsia" w:hAnsiTheme="minorEastAsia"/>
      </w:rPr>
      <w:t>科技宜兴</w:t>
    </w:r>
    <w:r>
      <w:rPr>
        <w:rFonts w:asciiTheme="minorEastAsia" w:hAnsiTheme="minorEastAsia"/>
      </w:rPr>
      <w:t>有限公司</w:t>
    </w:r>
    <w:r>
      <w:rPr>
        <w:rFonts w:hint="eastAsia" w:asciiTheme="minorEastAsia" w:hAnsiTheme="minorEastAsia"/>
      </w:rPr>
      <w:t xml:space="preserve">                             </w:t>
    </w:r>
    <w:r>
      <w:rPr>
        <w:rFonts w:asciiTheme="minorEastAsia" w:hAnsiTheme="minorEastAsia"/>
      </w:rPr>
      <w:t xml:space="preserve">                </w:t>
    </w:r>
    <w:r>
      <w:rPr>
        <w:rFonts w:hint="eastAsia" w:asciiTheme="minorEastAsia" w:hAnsiTheme="minorEastAsia"/>
      </w:rPr>
      <w:t xml:space="preserve">               0</w:t>
    </w:r>
    <w:r>
      <w:rPr>
        <w:rFonts w:asciiTheme="minorEastAsia" w:hAnsiTheme="minorEastAsia"/>
      </w:rPr>
      <w:t>3</w:t>
    </w:r>
    <w:r>
      <w:rPr>
        <w:rFonts w:hint="eastAsia" w:asciiTheme="minorEastAsia" w:hAnsiTheme="minorEastAsia"/>
      </w:rPr>
      <w:t>综述</w:t>
    </w:r>
    <w:r>
      <w:rPr>
        <w:rFonts w:asciiTheme="minorEastAsia" w:hAnsiTheme="minorEastAsia"/>
      </w:rPr>
      <w:t>资料</w:t>
    </w:r>
  </w:p>
  <w:p w14:paraId="11A12B01">
    <w:pPr>
      <w:pStyle w:val="25"/>
      <w:tabs>
        <w:tab w:val="center" w:pos="4153"/>
        <w:tab w:val="right" w:pos="8306"/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C4F334"/>
    <w:multiLevelType w:val="singleLevel"/>
    <w:tmpl w:val="80C4F334"/>
    <w:lvl w:ilvl="0" w:tentative="0">
      <w:start w:val="1"/>
      <w:numFmt w:val="chineseCounting"/>
      <w:suff w:val="space"/>
      <w:lvlText w:val="第%1章"/>
      <w:lvlJc w:val="left"/>
      <w:rPr>
        <w:rFonts w:hint="eastAsia"/>
        <w:sz w:val="32"/>
        <w:szCs w:val="32"/>
      </w:rPr>
    </w:lvl>
  </w:abstractNum>
  <w:abstractNum w:abstractNumId="1">
    <w:nsid w:val="AE9351B1"/>
    <w:multiLevelType w:val="singleLevel"/>
    <w:tmpl w:val="AE9351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5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6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6580D7B"/>
    <w:rsid w:val="288B2282"/>
    <w:rsid w:val="2B8D1D21"/>
    <w:rsid w:val="3651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</Words>
  <Characters>214</Characters>
  <Lines>0</Lines>
  <Paragraphs>0</Paragraphs>
  <TotalTime>0</TotalTime>
  <ScaleCrop>false</ScaleCrop>
  <LinksUpToDate>false</LinksUpToDate>
  <CharactersWithSpaces>216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韦恩</cp:lastModifiedBy>
  <dcterms:modified xsi:type="dcterms:W3CDTF">2026-06-10T13:11:55Z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eyJoZGlkIjoiNjUxYjQwZmEzNjYyMjE4MDFiMjJmZWM2ZjE0ODA3ZDAiLCJ1c2VySWQiOiIxNjQ0NDM3Mjg4In0=</vt:lpwstr>
  </property>
  <property fmtid="{D5CDD505-2E9C-101B-9397-08002B2CF9AE}" pid="3" name="KSOProductBuildVer">
    <vt:lpwstr>2052-12.1.0.26895</vt:lpwstr>
  </property>
  <property fmtid="{D5CDD505-2E9C-101B-9397-08002B2CF9AE}" pid="4" name="ICV">
    <vt:lpwstr>AFFFD87AB336447A93351FDB1FB92F65_12</vt:lpwstr>
  </property>
</Properties>
</file>